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CONTESTAÇÃO À AÇÃO DE EXONERAÇÃO DE ALIMENTOS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CONTESTANTE: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CONTESTADO: 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</w:t>
      </w:r>
    </w:p>
    <w:p>
      <w:r>
        <w:rPr>
          <w:b w:val="0"/>
          <w:sz w:val="20"/>
        </w:rPr>
        <w:t>CPF: 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Contestante, na qualidade de alimentando, vem respeitosamente apresentar sua contestação à ação de exoneração de alimentos ajuizada pelo Contestado, pelos fatos e fundamentos que passa a expor.</w:t>
      </w:r>
    </w:p>
    <w:p/>
    <w:p>
      <w:r>
        <w:rPr>
          <w:b w:val="0"/>
          <w:sz w:val="20"/>
        </w:rPr>
        <w:t>1. O Contestado pretende a exoneração ou redução da pensão alimentícia fixada em favor do Contestante sob alegação de mudança na situação financeira ou pessoal.</w:t>
      </w:r>
    </w:p>
    <w:p>
      <w:r>
        <w:rPr>
          <w:b/>
          <w:sz w:val="20"/>
        </w:rPr>
        <w:t>2. Entretanto, o Contestante ainda necessita da verba alimentar para sua subsistência, tendo em vista que:</w:t>
      </w:r>
    </w:p>
    <w:p>
      <w:r>
        <w:rPr>
          <w:b w:val="0"/>
          <w:sz w:val="20"/>
        </w:rPr>
        <w:t xml:space="preserve">   a) A necessidade do alimentando permanece, considerando suas despesas com moradia, alimentação, saúde, educação, vestuário e lazer;</w:t>
      </w:r>
    </w:p>
    <w:p>
      <w:r>
        <w:rPr>
          <w:b w:val="0"/>
          <w:sz w:val="20"/>
        </w:rPr>
        <w:t xml:space="preserve">   b) O Contestado não comprovou mudança significativa em sua capacidade econômica que justifique a exoneração ou redução;</w:t>
      </w:r>
    </w:p>
    <w:p>
      <w:r>
        <w:rPr>
          <w:b w:val="0"/>
          <w:sz w:val="20"/>
        </w:rPr>
        <w:t xml:space="preserve">   c) A exoneração, caso concedida, poderá causar grave prejuízo ao Contestante, comprometendo seu sustento e desenvolvimento.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3. Conforme dispõe o artigo 1.699 do Código Civil, a obrigação alimentar pode ser revista quando ocorrer mudança na situação financeira de quem os supre ou de quem os recebe, o que não restou demonstrado nos autos.</w:t>
      </w:r>
    </w:p>
    <w:p>
      <w:r>
        <w:rPr>
          <w:b w:val="0"/>
          <w:sz w:val="20"/>
        </w:rPr>
        <w:t>4. O princípio do melhor interesse do menor (artigo 227 da Constituição Federal) impõe a preservação das condições que garantam sua dignidade e desenvolvimento.</w:t>
      </w:r>
    </w:p>
    <w:p>
      <w:r>
        <w:rPr>
          <w:b w:val="0"/>
          <w:sz w:val="20"/>
        </w:rPr>
        <w:t>5. A jurisprudência consolidada do Superior Tribunal de Justiça orienta no sentido de que a exoneração ou redução dos alimentos deve ser analisada com cautela, assegurando que não seja prejudicial ao alimentando.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6. O Contestante requer a produção de todas as provas admitidas em direito, especialmente:</w:t>
      </w:r>
    </w:p>
    <w:p>
      <w:r>
        <w:rPr>
          <w:b w:val="0"/>
          <w:sz w:val="20"/>
        </w:rPr>
        <w:t xml:space="preserve">   a) Prova documental complementar;</w:t>
      </w:r>
    </w:p>
    <w:p>
      <w:r>
        <w:rPr>
          <w:b w:val="0"/>
          <w:sz w:val="20"/>
        </w:rPr>
        <w:t xml:space="preserve">   b) Prova testemunhal;</w:t>
      </w:r>
    </w:p>
    <w:p>
      <w:r>
        <w:rPr>
          <w:b w:val="0"/>
          <w:sz w:val="20"/>
        </w:rPr>
        <w:t xml:space="preserve">   c) Perícia, caso necessária para comprovar as alegações;</w:t>
      </w:r>
    </w:p>
    <w:p>
      <w:r>
        <w:rPr>
          <w:b w:val="0"/>
          <w:sz w:val="20"/>
        </w:rPr>
        <w:t xml:space="preserve">   d) Oitiva das partes.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Que seja indeferida a exoneração ou redução dos alimentos fixados, mantendo-se integralmente o valor atualmente devido;</w:t>
      </w:r>
    </w:p>
    <w:p>
      <w:r>
        <w:rPr>
          <w:b w:val="0"/>
          <w:sz w:val="20"/>
        </w:rPr>
        <w:t>2. Caso entenda pela possibilidade de revisão, que seja realizada avaliação detalhada da real necessidade do alimentando e da capacidade financeira do alimentante, com eventual redução justa e proporcional;</w:t>
      </w:r>
    </w:p>
    <w:p>
      <w:r>
        <w:rPr>
          <w:b w:val="0"/>
          <w:sz w:val="20"/>
        </w:rPr>
        <w:t>3. A condenação do Contestado ao pagamento das custas processuais e honorários advocatícios;</w:t>
      </w:r>
    </w:p>
    <w:p>
      <w:r>
        <w:rPr>
          <w:b w:val="0"/>
          <w:sz w:val="20"/>
        </w:rPr>
        <w:t>4. A intimação do Ministério Público para intervir no feito, nos termos da lei;</w:t>
      </w:r>
    </w:p>
    <w:p>
      <w:r>
        <w:rPr>
          <w:b w:val="0"/>
          <w:sz w:val="20"/>
        </w:rPr>
        <w:t>5. A produção das provas arroladas, especialmente testemunhal e pericial, se necessário.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https://modelo-juris.com/contestacao-de-exoneracao-de-alimentos/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estacao-de-exoneracao-de-aliment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